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XSpec="center" w:tblpY="2237"/>
        <w:tblW w:w="14593" w:type="dxa"/>
        <w:tblInd w:w="0" w:type="dxa"/>
        <w:tblCellMar>
          <w:left w:w="82" w:type="dxa"/>
          <w:right w:w="115" w:type="dxa"/>
        </w:tblCellMar>
        <w:tblLook w:val="04A0" w:firstRow="1" w:lastRow="0" w:firstColumn="1" w:lastColumn="0" w:noHBand="0" w:noVBand="1"/>
      </w:tblPr>
      <w:tblGrid>
        <w:gridCol w:w="713"/>
        <w:gridCol w:w="4279"/>
        <w:gridCol w:w="3212"/>
        <w:gridCol w:w="1144"/>
        <w:gridCol w:w="5245"/>
      </w:tblGrid>
      <w:tr w:rsidR="00C00F5F" w:rsidTr="00A31FB3">
        <w:trPr>
          <w:trHeight w:val="411"/>
        </w:trPr>
        <w:tc>
          <w:tcPr>
            <w:tcW w:w="14593" w:type="dxa"/>
            <w:gridSpan w:val="5"/>
            <w:tcBorders>
              <w:top w:val="single" w:sz="6" w:space="0" w:color="000000"/>
              <w:left w:val="single" w:sz="6" w:space="0" w:color="000000"/>
              <w:bottom w:val="single" w:sz="6" w:space="0" w:color="000000"/>
              <w:right w:val="single" w:sz="6" w:space="0" w:color="000000"/>
            </w:tcBorders>
            <w:vAlign w:val="center"/>
          </w:tcPr>
          <w:p w:rsidR="00C00F5F" w:rsidRPr="00C00F5F" w:rsidRDefault="00C00F5F" w:rsidP="0013196D">
            <w:pPr>
              <w:jc w:val="center"/>
              <w:rPr>
                <w:b/>
              </w:rPr>
            </w:pPr>
            <w:r>
              <w:rPr>
                <w:rFonts w:ascii="Times New Roman" w:eastAsia="Times New Roman" w:hAnsi="Times New Roman" w:cs="Times New Roman"/>
                <w:b/>
                <w:sz w:val="25"/>
              </w:rPr>
              <w:t>Birim Adı</w:t>
            </w:r>
            <w:r w:rsidR="00800224">
              <w:rPr>
                <w:rFonts w:ascii="Times New Roman" w:eastAsia="Times New Roman" w:hAnsi="Times New Roman" w:cs="Times New Roman"/>
                <w:b/>
                <w:sz w:val="25"/>
              </w:rPr>
              <w:t>:</w:t>
            </w:r>
            <w:r w:rsidR="00E9673D">
              <w:rPr>
                <w:rFonts w:ascii="Times New Roman" w:eastAsia="Times New Roman" w:hAnsi="Times New Roman" w:cs="Times New Roman"/>
                <w:b/>
                <w:sz w:val="25"/>
              </w:rPr>
              <w:br/>
              <w:t>Alt Birim Adı*:</w:t>
            </w:r>
          </w:p>
        </w:tc>
      </w:tr>
      <w:tr w:rsidR="00C00F5F" w:rsidTr="00A31FB3">
        <w:trPr>
          <w:trHeight w:val="581"/>
        </w:trPr>
        <w:tc>
          <w:tcPr>
            <w:tcW w:w="713" w:type="dxa"/>
            <w:tcBorders>
              <w:top w:val="single" w:sz="6" w:space="0" w:color="000000"/>
              <w:left w:val="single" w:sz="6" w:space="0" w:color="000000"/>
              <w:bottom w:val="single" w:sz="6" w:space="0" w:color="000000"/>
              <w:right w:val="single" w:sz="6" w:space="0" w:color="000000"/>
            </w:tcBorders>
            <w:vAlign w:val="center"/>
          </w:tcPr>
          <w:p w:rsidR="00C00F5F" w:rsidRPr="00C00F5F" w:rsidRDefault="00C00F5F" w:rsidP="0013196D">
            <w:pPr>
              <w:spacing w:after="48" w:line="240" w:lineRule="auto"/>
              <w:ind w:left="74"/>
              <w:jc w:val="center"/>
              <w:rPr>
                <w:rFonts w:asciiTheme="minorHAnsi" w:hAnsiTheme="minorHAnsi" w:cstheme="minorHAnsi"/>
                <w:b/>
              </w:rPr>
            </w:pPr>
            <w:r w:rsidRPr="00C00F5F">
              <w:rPr>
                <w:rFonts w:asciiTheme="minorHAnsi" w:eastAsia="Times New Roman" w:hAnsiTheme="minorHAnsi" w:cstheme="minorHAnsi"/>
                <w:b/>
              </w:rPr>
              <w:t>Sıra</w:t>
            </w:r>
          </w:p>
          <w:p w:rsidR="00C00F5F" w:rsidRPr="00C00F5F" w:rsidRDefault="00C00F5F" w:rsidP="0013196D">
            <w:pPr>
              <w:ind w:left="137"/>
              <w:jc w:val="center"/>
              <w:rPr>
                <w:rFonts w:asciiTheme="minorHAnsi" w:hAnsiTheme="minorHAnsi" w:cstheme="minorHAnsi"/>
                <w:b/>
              </w:rPr>
            </w:pPr>
            <w:r w:rsidRPr="00C00F5F">
              <w:rPr>
                <w:rFonts w:asciiTheme="minorHAnsi" w:eastAsia="Times New Roman" w:hAnsiTheme="minorHAnsi" w:cstheme="minorHAnsi"/>
                <w:b/>
              </w:rPr>
              <w:t>No</w:t>
            </w:r>
          </w:p>
        </w:tc>
        <w:tc>
          <w:tcPr>
            <w:tcW w:w="4279" w:type="dxa"/>
            <w:tcBorders>
              <w:top w:val="single" w:sz="6" w:space="0" w:color="000000"/>
              <w:left w:val="single" w:sz="6" w:space="0" w:color="000000"/>
              <w:bottom w:val="single" w:sz="6" w:space="0" w:color="000000"/>
              <w:right w:val="single" w:sz="6" w:space="0" w:color="000000"/>
            </w:tcBorders>
            <w:vAlign w:val="center"/>
          </w:tcPr>
          <w:p w:rsidR="00C00F5F" w:rsidRPr="00C00F5F" w:rsidRDefault="00C00F5F" w:rsidP="0013196D">
            <w:pPr>
              <w:jc w:val="center"/>
              <w:rPr>
                <w:rFonts w:asciiTheme="minorHAnsi" w:hAnsiTheme="minorHAnsi" w:cstheme="minorHAnsi"/>
                <w:b/>
              </w:rPr>
            </w:pPr>
            <w:r w:rsidRPr="00C00F5F">
              <w:rPr>
                <w:rFonts w:asciiTheme="minorHAnsi" w:eastAsia="Times New Roman" w:hAnsiTheme="minorHAnsi" w:cstheme="minorHAnsi"/>
                <w:b/>
              </w:rPr>
              <w:t>Hassas Görevler</w:t>
            </w:r>
          </w:p>
        </w:tc>
        <w:tc>
          <w:tcPr>
            <w:tcW w:w="3212" w:type="dxa"/>
            <w:tcBorders>
              <w:top w:val="single" w:sz="6" w:space="0" w:color="000000"/>
              <w:left w:val="single" w:sz="6" w:space="0" w:color="000000"/>
              <w:bottom w:val="single" w:sz="6" w:space="0" w:color="000000"/>
              <w:right w:val="single" w:sz="6" w:space="0" w:color="000000"/>
            </w:tcBorders>
            <w:vAlign w:val="center"/>
          </w:tcPr>
          <w:p w:rsidR="00C00F5F" w:rsidRPr="00C00F5F" w:rsidRDefault="00E9673D" w:rsidP="0013196D">
            <w:pPr>
              <w:jc w:val="center"/>
              <w:rPr>
                <w:rFonts w:asciiTheme="minorHAnsi" w:hAnsiTheme="minorHAnsi" w:cstheme="minorHAnsi"/>
                <w:b/>
              </w:rPr>
            </w:pPr>
            <w:r>
              <w:rPr>
                <w:rFonts w:asciiTheme="minorHAnsi" w:eastAsia="Times New Roman" w:hAnsiTheme="minorHAnsi" w:cstheme="minorHAnsi"/>
                <w:b/>
              </w:rPr>
              <w:t>Riskler</w:t>
            </w:r>
          </w:p>
        </w:tc>
        <w:tc>
          <w:tcPr>
            <w:tcW w:w="1144" w:type="dxa"/>
            <w:tcBorders>
              <w:top w:val="single" w:sz="6" w:space="0" w:color="000000"/>
              <w:left w:val="single" w:sz="6" w:space="0" w:color="000000"/>
              <w:bottom w:val="single" w:sz="6" w:space="0" w:color="000000"/>
              <w:right w:val="single" w:sz="6" w:space="0" w:color="000000"/>
            </w:tcBorders>
            <w:vAlign w:val="center"/>
          </w:tcPr>
          <w:p w:rsidR="00C00F5F" w:rsidRDefault="00E9673D" w:rsidP="0013196D">
            <w:pPr>
              <w:jc w:val="center"/>
              <w:rPr>
                <w:rFonts w:asciiTheme="minorHAnsi" w:eastAsia="Times New Roman" w:hAnsiTheme="minorHAnsi" w:cstheme="minorHAnsi"/>
                <w:b/>
              </w:rPr>
            </w:pPr>
            <w:r>
              <w:rPr>
                <w:rFonts w:asciiTheme="minorHAnsi" w:eastAsia="Times New Roman" w:hAnsiTheme="minorHAnsi" w:cstheme="minorHAnsi"/>
                <w:b/>
              </w:rPr>
              <w:t>Risk Düzeyi</w:t>
            </w:r>
          </w:p>
          <w:p w:rsidR="00E9673D" w:rsidRPr="00C00F5F" w:rsidRDefault="00E9673D" w:rsidP="0013196D">
            <w:pPr>
              <w:jc w:val="center"/>
              <w:rPr>
                <w:rFonts w:asciiTheme="minorHAnsi" w:hAnsiTheme="minorHAnsi" w:cstheme="minorHAnsi"/>
                <w:b/>
              </w:rPr>
            </w:pPr>
            <w:r>
              <w:rPr>
                <w:rFonts w:asciiTheme="minorHAnsi" w:eastAsia="Times New Roman" w:hAnsiTheme="minorHAnsi" w:cstheme="minorHAnsi"/>
                <w:b/>
              </w:rPr>
              <w:t>(Yüksek-Orta-Düşük)</w:t>
            </w:r>
          </w:p>
        </w:tc>
        <w:tc>
          <w:tcPr>
            <w:tcW w:w="5245" w:type="dxa"/>
            <w:tcBorders>
              <w:top w:val="single" w:sz="6" w:space="0" w:color="000000"/>
              <w:left w:val="single" w:sz="6" w:space="0" w:color="000000"/>
              <w:bottom w:val="single" w:sz="6" w:space="0" w:color="000000"/>
              <w:right w:val="single" w:sz="6" w:space="0" w:color="000000"/>
            </w:tcBorders>
            <w:vAlign w:val="center"/>
          </w:tcPr>
          <w:p w:rsidR="00C00F5F" w:rsidRPr="00C00F5F" w:rsidRDefault="00E9673D" w:rsidP="0013196D">
            <w:pPr>
              <w:jc w:val="center"/>
              <w:rPr>
                <w:rFonts w:asciiTheme="minorHAnsi" w:hAnsiTheme="minorHAnsi" w:cstheme="minorHAnsi"/>
                <w:b/>
              </w:rPr>
            </w:pPr>
            <w:r>
              <w:rPr>
                <w:rFonts w:asciiTheme="minorHAnsi" w:eastAsia="Times New Roman" w:hAnsiTheme="minorHAnsi" w:cstheme="minorHAnsi"/>
                <w:b/>
              </w:rPr>
              <w:t>Gerekli Kontroller/Tedbirler</w:t>
            </w:r>
          </w:p>
        </w:tc>
      </w:tr>
      <w:tr w:rsidR="00A31FB3" w:rsidTr="00A31FB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1</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pStyle w:val="Default"/>
              <w:jc w:val="center"/>
              <w:rPr>
                <w:rFonts w:ascii="Times New Roman" w:hAnsi="Times New Roman" w:cs="Times New Roman"/>
              </w:rPr>
            </w:pPr>
            <w:r w:rsidRPr="00344913">
              <w:rPr>
                <w:rFonts w:ascii="Times New Roman" w:hAnsi="Times New Roman" w:cs="Times New Roman"/>
              </w:rPr>
              <w:t>Kanun, Yönetmelik ve</w:t>
            </w:r>
          </w:p>
          <w:p w:rsidR="00A31FB3" w:rsidRPr="00344913" w:rsidRDefault="00A31FB3" w:rsidP="0013196D">
            <w:pPr>
              <w:pStyle w:val="Default"/>
              <w:jc w:val="center"/>
              <w:rPr>
                <w:rFonts w:ascii="Times New Roman" w:hAnsi="Times New Roman" w:cs="Times New Roman"/>
              </w:rPr>
            </w:pPr>
            <w:proofErr w:type="gramStart"/>
            <w:r w:rsidRPr="00344913">
              <w:rPr>
                <w:rFonts w:ascii="Times New Roman" w:hAnsi="Times New Roman" w:cs="Times New Roman"/>
              </w:rPr>
              <w:t>diğer</w:t>
            </w:r>
            <w:proofErr w:type="gramEnd"/>
            <w:r w:rsidRPr="00344913">
              <w:rPr>
                <w:rFonts w:ascii="Times New Roman" w:hAnsi="Times New Roman" w:cs="Times New Roman"/>
              </w:rPr>
              <w:t xml:space="preserve"> mevzuatın takibi ve</w:t>
            </w:r>
          </w:p>
          <w:p w:rsidR="00A31FB3" w:rsidRPr="00344913" w:rsidRDefault="00A31FB3" w:rsidP="0013196D">
            <w:pPr>
              <w:pStyle w:val="Default"/>
              <w:jc w:val="center"/>
              <w:rPr>
                <w:rFonts w:ascii="Times New Roman" w:hAnsi="Times New Roman" w:cs="Times New Roman"/>
              </w:rPr>
            </w:pPr>
            <w:proofErr w:type="gramStart"/>
            <w:r w:rsidRPr="00344913">
              <w:rPr>
                <w:rFonts w:ascii="Times New Roman" w:hAnsi="Times New Roman" w:cs="Times New Roman"/>
              </w:rPr>
              <w:t>uygulanması</w:t>
            </w:r>
            <w:proofErr w:type="gramEnd"/>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pStyle w:val="Default"/>
              <w:jc w:val="center"/>
              <w:rPr>
                <w:rFonts w:ascii="Times New Roman" w:hAnsi="Times New Roman" w:cs="Times New Roman"/>
              </w:rPr>
            </w:pPr>
            <w:r w:rsidRPr="00344913">
              <w:rPr>
                <w:rFonts w:ascii="Times New Roman" w:hAnsi="Times New Roman" w:cs="Times New Roman"/>
              </w:rPr>
              <w:t>Hak kaybı, yanlış işlem, kaynak</w:t>
            </w:r>
          </w:p>
          <w:p w:rsidR="00A31FB3" w:rsidRPr="00344913" w:rsidRDefault="00A31FB3" w:rsidP="0013196D">
            <w:pPr>
              <w:pStyle w:val="Default"/>
              <w:jc w:val="center"/>
              <w:rPr>
                <w:rFonts w:ascii="Times New Roman" w:hAnsi="Times New Roman" w:cs="Times New Roman"/>
              </w:rPr>
            </w:pPr>
            <w:proofErr w:type="gramStart"/>
            <w:r w:rsidRPr="00344913">
              <w:rPr>
                <w:rFonts w:ascii="Times New Roman" w:hAnsi="Times New Roman" w:cs="Times New Roman"/>
              </w:rPr>
              <w:t>israfı</w:t>
            </w:r>
            <w:proofErr w:type="gramEnd"/>
            <w:r w:rsidRPr="00344913">
              <w:rPr>
                <w:rFonts w:ascii="Times New Roman" w:hAnsi="Times New Roman" w:cs="Times New Roman"/>
              </w:rPr>
              <w:t>, tenkit, soruşturma, cezai</w:t>
            </w:r>
          </w:p>
          <w:p w:rsidR="00A31FB3" w:rsidRPr="00344913" w:rsidRDefault="00A31FB3" w:rsidP="0013196D">
            <w:pPr>
              <w:pStyle w:val="Default"/>
              <w:jc w:val="center"/>
              <w:rPr>
                <w:rFonts w:ascii="Times New Roman" w:hAnsi="Times New Roman" w:cs="Times New Roman"/>
              </w:rPr>
            </w:pPr>
            <w:proofErr w:type="gramStart"/>
            <w:r w:rsidRPr="00344913">
              <w:rPr>
                <w:rFonts w:ascii="Times New Roman" w:hAnsi="Times New Roman" w:cs="Times New Roman"/>
              </w:rPr>
              <w:t>yaptırımlar</w:t>
            </w:r>
            <w:proofErr w:type="gramEnd"/>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pStyle w:val="Default"/>
              <w:jc w:val="center"/>
              <w:rPr>
                <w:rFonts w:ascii="Times New Roman" w:hAnsi="Times New Roman" w:cs="Times New Roman"/>
              </w:rPr>
            </w:pPr>
            <w:r w:rsidRPr="00344913">
              <w:rPr>
                <w:rFonts w:ascii="Times New Roman" w:hAnsi="Times New Roman" w:cs="Times New Roman"/>
              </w:rPr>
              <w:t>Yüksek</w:t>
            </w:r>
          </w:p>
          <w:p w:rsidR="00A31FB3" w:rsidRPr="00344913" w:rsidRDefault="00A31FB3" w:rsidP="0013196D">
            <w:pPr>
              <w:jc w:val="center"/>
              <w:rPr>
                <w:rFonts w:ascii="Times New Roman"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pStyle w:val="Default"/>
              <w:jc w:val="center"/>
              <w:rPr>
                <w:rFonts w:ascii="Times New Roman" w:hAnsi="Times New Roman" w:cs="Times New Roman"/>
              </w:rPr>
            </w:pPr>
            <w:r w:rsidRPr="00344913">
              <w:rPr>
                <w:rFonts w:ascii="Times New Roman" w:hAnsi="Times New Roman" w:cs="Times New Roman"/>
              </w:rPr>
              <w:t>Mevzuat güncel olarak takip edilerek gerekli duyurular yapılmalı</w:t>
            </w:r>
          </w:p>
        </w:tc>
      </w:tr>
      <w:tr w:rsidR="00A31FB3" w:rsidTr="00A31FB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2</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pStyle w:val="Default"/>
              <w:jc w:val="center"/>
              <w:rPr>
                <w:rFonts w:ascii="Times New Roman" w:hAnsi="Times New Roman" w:cs="Times New Roman"/>
              </w:rPr>
            </w:pPr>
            <w:r w:rsidRPr="00344913">
              <w:rPr>
                <w:rFonts w:ascii="Times New Roman" w:hAnsi="Times New Roman" w:cs="Times New Roman"/>
              </w:rPr>
              <w:t>İhale kanunları kapsamında yapılan; mal ve hizmet alım ihaleleri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proofErr w:type="gramStart"/>
            <w:r w:rsidRPr="00344913">
              <w:rPr>
                <w:rFonts w:ascii="Times New Roman" w:hAnsi="Times New Roman" w:cs="Times New Roman"/>
                <w:sz w:val="24"/>
                <w:szCs w:val="24"/>
              </w:rPr>
              <w:t xml:space="preserve">Yaklaşık maliyet gizliliğinin ihlal edilmesi, ihalede izlenmesi gereken tarih, süreç ve sürelere uyulmaması, yeterli duyuruların yapılmaması, rekabetin engellenmesi, isteklilere tekliflerini hazırlayabilmeleri için yeterli süre verilmemesi, ihale için verilen tekliflerin doğru değerlendirilmemesi, ihale değerlendirilmesinden sonra ihale sonucunun tüm isteklilere bildirilmemesi, sözleşmeye kadar olan yasal sürelere uyulmaması, sözleşme </w:t>
            </w:r>
            <w:r w:rsidRPr="00344913">
              <w:rPr>
                <w:rFonts w:ascii="Times New Roman" w:hAnsi="Times New Roman" w:cs="Times New Roman"/>
                <w:sz w:val="24"/>
                <w:szCs w:val="24"/>
              </w:rPr>
              <w:lastRenderedPageBreak/>
              <w:t>esnasında istenilen bilgi ve belgelerin doğru değerlendirilmemesi ve ihalelerin SGK' ya bildirilmemesi.</w:t>
            </w:r>
            <w:proofErr w:type="gramEnd"/>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lastRenderedPageBreak/>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Gizliliğe önem vermek, piyasa araştırmasında rekabet ortamının sağlanması, ödenek durumunun kontrolü, Personelin gerekli eğitimler almasını sağlamak ve bilgilerini sürekli güncel tutmak, İhale onaylarının ilgili personel tarafından elden takip edilmesi, süreç ve tarihlerin takip edilmesi,</w:t>
            </w:r>
          </w:p>
        </w:tc>
      </w:tr>
      <w:tr w:rsidR="00A31FB3" w:rsidTr="00E818E1">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lastRenderedPageBreak/>
              <w:t>3</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İhale kanunları kapsamında yapılan; hizmet alım ihalelerine ilişkin ödemeler ve taşeron firma bünyesinde çalışan personelin kıdem tazminatı ödemeleri.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Mevzuat değişikliğinin takip edilememesi sonucu oluşabilecek yanlışlıklar.</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Personelin gerekli eğitimler almasını sağlamak ve bilgilerini sürekli güncel tutmak, hak ediş ödemelerinde kontrol teşkilatının evrakı hazırlayan personel dışında seçilmesi denetimi artıracaktır.</w:t>
            </w:r>
          </w:p>
        </w:tc>
      </w:tr>
      <w:tr w:rsidR="00A31FB3" w:rsidTr="00E818E1">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4</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Satın Alma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İhtiyaçların zamanında karşılanamaması,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Haksız rekabet,</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Menfaat sağlama,</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Soruşturma.</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-İlgili satın alma kaleminde ödenek olup olmadığı kontrolü yapılır,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-İş ve işlemlerde gizliliğe önem verilir,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Piyasa araştırmasında rekabet ortamı sağlanır,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-Görevli personelin ilgili Kanun ve yönetmeliklere hâkim olması ve bilgilerini sürekli güncel tutması sağlanır.</w:t>
            </w:r>
          </w:p>
        </w:tc>
      </w:tr>
      <w:tr w:rsidR="00A31FB3" w:rsidTr="00E818E1">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5</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Maaş Ödemeleri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Eksik veya yersiz ödemelere neden olunabilir.</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Mevzuat sürekli takip edilmelidir. Evraklarda maddi hata olup olmadığı birkaç kişinin kontrolünden geçirilmelidir.</w:t>
            </w:r>
          </w:p>
        </w:tc>
      </w:tr>
      <w:tr w:rsidR="00A31FB3" w:rsidTr="00E818E1">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6</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Yolluk Ödemeleri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Eksik veya yersiz ödemelere neden olunabilir.</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Orta</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Hazırlanan evraklar, mevzuat tekrar gözden geçirilerek hazırlanmalıdır.</w:t>
            </w:r>
          </w:p>
        </w:tc>
      </w:tr>
      <w:tr w:rsidR="00A31FB3" w:rsidTr="00A31FB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7</w:t>
            </w:r>
          </w:p>
        </w:tc>
        <w:tc>
          <w:tcPr>
            <w:tcW w:w="4279"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Personel İşlemleri</w:t>
            </w:r>
          </w:p>
        </w:tc>
        <w:tc>
          <w:tcPr>
            <w:tcW w:w="3212"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Görevlerin aksaması,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Zaman kaybı,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Personel mağduriyeti,</w:t>
            </w:r>
          </w:p>
          <w:p w:rsidR="00A31FB3" w:rsidRPr="00344913" w:rsidRDefault="00A31FB3" w:rsidP="0013196D">
            <w:pPr>
              <w:jc w:val="center"/>
              <w:rPr>
                <w:rFonts w:ascii="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Düşük</w:t>
            </w:r>
          </w:p>
        </w:tc>
        <w:tc>
          <w:tcPr>
            <w:tcW w:w="5245"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Personel çalıştırmaya yönelik gerekli izinler alınıp sürecin mevzuata uygunluğu takip edilir.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Görevli personelin ilgili mevzuata hâkim olması sağlanır.</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lastRenderedPageBreak/>
              <w:t>8</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Kesenek Bildirimleri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Kesenek bildirimlerinin hatalı, eksik gönderilmesi ve hiç gönderilmemesi sonucunda kuruma ceza gelebilir.</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 xml:space="preserve">Hatalı gönderimlerde SGK' </w:t>
            </w:r>
            <w:proofErr w:type="spellStart"/>
            <w:r w:rsidRPr="00344913">
              <w:rPr>
                <w:rFonts w:ascii="Times New Roman" w:hAnsi="Times New Roman" w:cs="Times New Roman"/>
                <w:sz w:val="24"/>
                <w:szCs w:val="24"/>
              </w:rPr>
              <w:t>nın</w:t>
            </w:r>
            <w:proofErr w:type="spellEnd"/>
            <w:r w:rsidRPr="00344913">
              <w:rPr>
                <w:rFonts w:ascii="Times New Roman" w:hAnsi="Times New Roman" w:cs="Times New Roman"/>
                <w:sz w:val="24"/>
                <w:szCs w:val="24"/>
              </w:rPr>
              <w:t xml:space="preserve"> sisteminde uyarı verilebilir. Hiç gönderilmemesi durumunda ödemeyi yapan birim uyarıda bulunabilir.</w:t>
            </w:r>
          </w:p>
        </w:tc>
      </w:tr>
      <w:tr w:rsidR="00A31FB3" w:rsidTr="0013196D">
        <w:trPr>
          <w:trHeight w:val="970"/>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9</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Firmalardan depoya taşınır teslim alınması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Teslim alınacak taşınırların teknik şartnameye uygun olmaması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Taşınırların muayenesinin özenli bir şekilde yapılması ve kontrolü</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hAnsiTheme="minorHAnsi" w:cstheme="minorHAnsi"/>
                <w:b/>
              </w:rPr>
            </w:pPr>
            <w:r w:rsidRPr="00C00F5F">
              <w:rPr>
                <w:rFonts w:asciiTheme="minorHAnsi" w:eastAsia="Times New Roman" w:hAnsiTheme="minorHAnsi" w:cstheme="minorHAnsi"/>
                <w:b/>
              </w:rPr>
              <w:t>10</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 Kayıt Sistemi</w:t>
            </w:r>
          </w:p>
          <w:p w:rsidR="00A31FB3" w:rsidRPr="00344913" w:rsidRDefault="00A31FB3" w:rsidP="0013196D">
            <w:pPr>
              <w:jc w:val="center"/>
              <w:rPr>
                <w:rFonts w:ascii="Times New Roman" w:hAnsi="Times New Roman" w:cs="Times New Roman"/>
                <w:sz w:val="24"/>
                <w:szCs w:val="24"/>
              </w:rPr>
            </w:pPr>
            <w:proofErr w:type="gramStart"/>
            <w:r w:rsidRPr="00344913">
              <w:rPr>
                <w:rFonts w:ascii="Times New Roman" w:hAnsi="Times New Roman" w:cs="Times New Roman"/>
                <w:sz w:val="24"/>
                <w:szCs w:val="24"/>
              </w:rPr>
              <w:t>üzerinden</w:t>
            </w:r>
            <w:proofErr w:type="gramEnd"/>
            <w:r w:rsidRPr="00344913">
              <w:rPr>
                <w:rFonts w:ascii="Times New Roman" w:hAnsi="Times New Roman" w:cs="Times New Roman"/>
                <w:sz w:val="24"/>
                <w:szCs w:val="24"/>
              </w:rPr>
              <w:t xml:space="preserve"> yapılan giriş ve çıkış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Teslim edilen taşınır ve sistem üzerinden çıkışların farklılık göstermesi</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Orta</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Birimler arası koordinasyonun sağlanarak kontrollerin yapılması</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11</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Taşınırların depolanması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Taşınırların zarar görmesi</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Depoların saklama koşullarına uygun hale getirilmesi ve kontrolü</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12</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 Kayıt Sistemi sorunları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 Mal i</w:t>
            </w:r>
            <w:bookmarkStart w:id="0" w:name="_GoBack"/>
            <w:bookmarkEnd w:id="0"/>
            <w:r w:rsidRPr="00344913">
              <w:rPr>
                <w:rFonts w:ascii="Times New Roman" w:hAnsi="Times New Roman" w:cs="Times New Roman"/>
                <w:sz w:val="24"/>
                <w:szCs w:val="24"/>
              </w:rPr>
              <w:t>şlemlerinin yapılamaması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Orta</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Sistem yöneticisi olan Maliye Bakanlığı'na sistemsel sorunların bildirilmesi</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13</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Zimmet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Kurumdan veya birimden ayrılan kişilerin üzerinde zimmetli taşınır görünmesi</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p w:rsidR="00A31FB3" w:rsidRPr="00344913" w:rsidRDefault="00A31FB3" w:rsidP="0013196D">
            <w:pPr>
              <w:jc w:val="center"/>
              <w:rPr>
                <w:rFonts w:ascii="Times New Roman"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Kurumdan veya biriminden ayrılan personelin birimimize bilgi vererek taşınır düşümlerini yaptırması</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14</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Yılsonu Taşınır İşlemleri</w:t>
            </w:r>
          </w:p>
          <w:p w:rsidR="00A31FB3" w:rsidRPr="00344913" w:rsidRDefault="00A31FB3" w:rsidP="0013196D">
            <w:pPr>
              <w:jc w:val="center"/>
              <w:rPr>
                <w:rFonts w:ascii="Times New Roman" w:hAnsi="Times New Roman" w:cs="Times New Roman"/>
                <w:sz w:val="24"/>
                <w:szCs w:val="24"/>
              </w:rPr>
            </w:pPr>
            <w:proofErr w:type="gramStart"/>
            <w:r w:rsidRPr="00344913">
              <w:rPr>
                <w:rFonts w:ascii="Times New Roman" w:hAnsi="Times New Roman" w:cs="Times New Roman"/>
                <w:sz w:val="24"/>
                <w:szCs w:val="24"/>
              </w:rPr>
              <w:t>ile</w:t>
            </w:r>
            <w:proofErr w:type="gramEnd"/>
            <w:r w:rsidRPr="00344913">
              <w:rPr>
                <w:rFonts w:ascii="Times New Roman" w:hAnsi="Times New Roman" w:cs="Times New Roman"/>
                <w:sz w:val="24"/>
                <w:szCs w:val="24"/>
              </w:rPr>
              <w:t xml:space="preserve"> ilgili belge ve cetvellerin oluşturulması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Yılsonu hesaplarının kapatılamaması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Faaliyetlerin gecikmesine yol açma,</w:t>
            </w:r>
            <w:r w:rsidR="0013196D">
              <w:rPr>
                <w:rFonts w:ascii="Times New Roman" w:hAnsi="Times New Roman" w:cs="Times New Roman"/>
                <w:sz w:val="24"/>
                <w:szCs w:val="24"/>
              </w:rPr>
              <w:t xml:space="preserve"> </w:t>
            </w:r>
            <w:r w:rsidRPr="00344913">
              <w:rPr>
                <w:rFonts w:ascii="Times New Roman" w:hAnsi="Times New Roman" w:cs="Times New Roman"/>
                <w:sz w:val="24"/>
                <w:szCs w:val="24"/>
              </w:rPr>
              <w:t>Kamu zararı.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Taşınır giriş ve çıkışları zamanında yapılır.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Yılsonunda mevzuatta belirtilen belge ve cetveller Kanun ve Yönetmeliklere uygun şekilde ve zamanında hazırlanır.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Görevli personelin Taşınır Kayıt Sistemine hâkim olması sağlanır.</w:t>
            </w:r>
          </w:p>
        </w:tc>
      </w:tr>
      <w:tr w:rsidR="00A31FB3" w:rsidTr="006672BB">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15</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Arşivlik Dosyalar (Ayıklama)</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Süresi dolan evrakların ayıklanması ve imhası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Orta</w:t>
            </w:r>
          </w:p>
          <w:p w:rsidR="00A31FB3" w:rsidRPr="00344913" w:rsidRDefault="00A31FB3" w:rsidP="0013196D">
            <w:pPr>
              <w:jc w:val="center"/>
              <w:rPr>
                <w:rFonts w:ascii="Times New Roman"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Dosyaların tasnifi, ayıklama ve imha ile ilgili Yönetmeliğe uymak</w:t>
            </w:r>
          </w:p>
        </w:tc>
      </w:tr>
      <w:tr w:rsidR="00A31FB3" w:rsidTr="00FF4D65">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lastRenderedPageBreak/>
              <w:t>16</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Arşiv' de yangın için önlemler</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Kıymetli bilgilerin yok olması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p w:rsidR="00A31FB3" w:rsidRPr="00344913" w:rsidRDefault="00A31FB3" w:rsidP="0013196D">
            <w:pPr>
              <w:jc w:val="center"/>
              <w:rPr>
                <w:rFonts w:ascii="Times New Roman" w:hAnsi="Times New Roman" w:cs="Times New Roman"/>
                <w:sz w:val="24"/>
                <w:szCs w:val="24"/>
              </w:rPr>
            </w:pP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 xml:space="preserve">Yangın algılama </w:t>
            </w:r>
            <w:proofErr w:type="spellStart"/>
            <w:r w:rsidRPr="00344913">
              <w:rPr>
                <w:rFonts w:ascii="Times New Roman" w:hAnsi="Times New Roman" w:cs="Times New Roman"/>
                <w:sz w:val="24"/>
                <w:szCs w:val="24"/>
              </w:rPr>
              <w:t>sensörleri</w:t>
            </w:r>
            <w:proofErr w:type="spellEnd"/>
            <w:r w:rsidRPr="00344913">
              <w:rPr>
                <w:rFonts w:ascii="Times New Roman" w:hAnsi="Times New Roman" w:cs="Times New Roman"/>
                <w:sz w:val="24"/>
                <w:szCs w:val="24"/>
              </w:rPr>
              <w:t>, yangın tüplerinin tam dolu olması.</w:t>
            </w:r>
          </w:p>
        </w:tc>
      </w:tr>
      <w:tr w:rsidR="00A31FB3" w:rsidTr="00FF4D65">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Pr="00C00F5F"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17</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Arşivin su tehlikesinde korunması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Evraklar zarar görür hatta Evrakları tamamen kaybedebiliriz.</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Orta</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Arşivin Bodrum vb. yerlere kurulmaması.</w:t>
            </w:r>
          </w:p>
        </w:tc>
      </w:tr>
      <w:tr w:rsidR="00A31FB3" w:rsidTr="00A31FB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18</w:t>
            </w:r>
          </w:p>
        </w:tc>
        <w:tc>
          <w:tcPr>
            <w:tcW w:w="4279"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Projelere ait sözleşmelerin ve eklerinin tasnif edilerek DSBS üzerine yüklenmesi işlemleri</w:t>
            </w:r>
          </w:p>
        </w:tc>
        <w:tc>
          <w:tcPr>
            <w:tcW w:w="3212"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Zaman ve güven kaybı, evrakların bulunamaması, ödemelerin ve katkı payları dağıtım oranlarının aksaması.</w:t>
            </w:r>
          </w:p>
        </w:tc>
        <w:tc>
          <w:tcPr>
            <w:tcW w:w="1144"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tcPr>
          <w:p w:rsidR="00A31FB3" w:rsidRPr="00344913" w:rsidRDefault="00A31FB3" w:rsidP="0013196D">
            <w:pPr>
              <w:jc w:val="center"/>
              <w:rPr>
                <w:rFonts w:ascii="Times New Roman" w:hAnsi="Times New Roman" w:cs="Times New Roman"/>
                <w:sz w:val="24"/>
                <w:szCs w:val="24"/>
              </w:rPr>
            </w:pP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Evrak takip işlemlerinin zamanında ve düzgün yapılması konusuna özen gösterilir.</w:t>
            </w:r>
          </w:p>
        </w:tc>
      </w:tr>
      <w:tr w:rsidR="00A31FB3" w:rsidTr="00FF4D65">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19</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Kurul ve Komisyonların toplanamaması ve/veya evrakların zamanında imzalanamaması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Kurul/Komisyon kararı ile yürütülmesi gereken işlerin usulüne uygun yürütülememesi</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Kurul/Komisyona girecek evrakların vaktinde gelmesini sağlamak, üyelerin imzalarını atmaları konusunu takip etmek</w:t>
            </w:r>
          </w:p>
        </w:tc>
      </w:tr>
      <w:tr w:rsidR="00A31FB3" w:rsidTr="00FF4D65">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20</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Bütçe Hazırlanması ve Yönetimi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Görevlerin aksaması,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Zaman kaybı,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Mevzuatı gereğini yerine getirememek,</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Güven kaybı.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Geçmiş yıllardaki bütçe gider gerçekleşmeleri dikkate alınarak işletmenin bütçe ihtiyacı belirlenir.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Harcama birimleri ile koordineli olarak ve geçmiş dönem gelirleri de hesaba katılarak tahmini gelir bütçesi belirlenir.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Hazırlanan bütçe tasarısı en geç ekim ayı sonuna kadar Üniversite Yönetim Kuruluna sunulur.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Onaylanarak kesinleşen bütçeler en geç aralık ayı sonuna kadar DMİS’ e girilir.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Yıl içinde devamlı olarak ödenekler takip edilir gerekirse ödenek aktarma ve ek bütçe hazırlama işlemleri yapılır.</w:t>
            </w:r>
          </w:p>
        </w:tc>
      </w:tr>
      <w:tr w:rsidR="00A31FB3" w:rsidTr="00F078C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lastRenderedPageBreak/>
              <w:t>21</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Hazine, Bilimsel Araştırma Projeler Koordinatörlüğü (BAP) ve Kurum Paylarının Ayrılması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Eksik veya fazla ödeme.</w:t>
            </w:r>
          </w:p>
          <w:p w:rsidR="00A31FB3" w:rsidRPr="00344913" w:rsidRDefault="00A31FB3" w:rsidP="0013196D">
            <w:pPr>
              <w:jc w:val="center"/>
              <w:rPr>
                <w:rFonts w:ascii="Times New Roman" w:hAnsi="Times New Roman" w:cs="Times New Roman"/>
                <w:sz w:val="24"/>
                <w:szCs w:val="24"/>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İşlemler mevzuatta belirlenen süre içinde yapılır.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Payların gelirlerin niteliğine göre, ilgili kanun ve yönetmeliklerde belirlenen oranlara göre ayrılır.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İşletme Müdürü tarafından kontrol ve denetimi sağlanır.</w:t>
            </w:r>
          </w:p>
        </w:tc>
      </w:tr>
      <w:tr w:rsidR="00A31FB3" w:rsidTr="00F078C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22</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Tahakkuk ve Tahsilat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Görevlerin aksaması,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Zaman kaybı,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Banka hesaplarının takip işlemi günlük olarak yapılır,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Gelir kaybına sebebiyet vermemek için tahsilatların süresi içinde gerçekleşmesi sağlanır.</w:t>
            </w:r>
          </w:p>
        </w:tc>
      </w:tr>
      <w:tr w:rsidR="00A31FB3" w:rsidTr="00F078C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23</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Faturalandırma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Gelebilecek herhangi bir cezaya sebebiyet vermemek için faturaların ilgili mevzuatta belirtilen sürede ve şekilde kesilmesi sağlanır.</w:t>
            </w:r>
          </w:p>
        </w:tc>
      </w:tr>
      <w:tr w:rsidR="00A31FB3" w:rsidTr="00F078C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24</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Pr>
                <w:rFonts w:ascii="Times New Roman" w:hAnsi="Times New Roman" w:cs="Times New Roman"/>
                <w:sz w:val="24"/>
                <w:szCs w:val="24"/>
              </w:rPr>
              <w:t>Teklif verme, Sözleşmelerin düzenlemesi ve onaylanması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Pr>
                <w:rFonts w:ascii="Times New Roman" w:hAnsi="Times New Roman" w:cs="Times New Roman"/>
                <w:sz w:val="24"/>
                <w:szCs w:val="24"/>
              </w:rPr>
              <w:t>Sözleşmelerin dikkatli incelenmesi mümkünse taslak sözleşme dışına çıkılmaması.</w:t>
            </w:r>
          </w:p>
        </w:tc>
      </w:tr>
      <w:tr w:rsidR="00A31FB3" w:rsidTr="00F078C3">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25</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Ek Ödeme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Görevlerin aksaması, zaman kaybı,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Personel mağduriyeti,</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Eksik veya fazla ödeme,</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Cezai işlem,</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İşlemler mevzuatta belirlenen süre içinde yapılır.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Ek ödeme, niteliğine göreve ilgili kanun ve yönetmeliklerde belirlenen oranlara göre dağıtılır.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 xml:space="preserve">Ek ödemeye ait vergiler hesaplanırken personelin bulunan aya ait </w:t>
            </w:r>
            <w:proofErr w:type="gramStart"/>
            <w:r w:rsidRPr="00344913">
              <w:rPr>
                <w:rFonts w:ascii="Times New Roman" w:hAnsi="Times New Roman" w:cs="Times New Roman"/>
                <w:sz w:val="24"/>
                <w:szCs w:val="24"/>
              </w:rPr>
              <w:t>kümülatifleri</w:t>
            </w:r>
            <w:proofErr w:type="gramEnd"/>
            <w:r w:rsidRPr="00344913">
              <w:rPr>
                <w:rFonts w:ascii="Times New Roman" w:hAnsi="Times New Roman" w:cs="Times New Roman"/>
                <w:sz w:val="24"/>
                <w:szCs w:val="24"/>
              </w:rPr>
              <w:t xml:space="preserve"> dikkate alınır.</w:t>
            </w:r>
          </w:p>
          <w:p w:rsidR="00A31FB3" w:rsidRPr="00344913" w:rsidRDefault="00A31FB3" w:rsidP="0013196D">
            <w:pPr>
              <w:jc w:val="center"/>
              <w:rPr>
                <w:rFonts w:ascii="Times New Roman" w:hAnsi="Times New Roman" w:cs="Times New Roman"/>
                <w:sz w:val="24"/>
                <w:szCs w:val="24"/>
              </w:rPr>
            </w:pPr>
          </w:p>
        </w:tc>
      </w:tr>
      <w:tr w:rsidR="00A31FB3" w:rsidTr="00DA4980">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26</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Fatura</w:t>
            </w:r>
            <w:r>
              <w:rPr>
                <w:rFonts w:ascii="Times New Roman" w:hAnsi="Times New Roman" w:cs="Times New Roman"/>
                <w:sz w:val="24"/>
                <w:szCs w:val="24"/>
              </w:rPr>
              <w:t>ların</w:t>
            </w:r>
            <w:r w:rsidRPr="00344913">
              <w:rPr>
                <w:rFonts w:ascii="Times New Roman" w:hAnsi="Times New Roman" w:cs="Times New Roman"/>
                <w:sz w:val="24"/>
                <w:szCs w:val="24"/>
              </w:rPr>
              <w:t xml:space="preserve"> </w:t>
            </w:r>
            <w:r>
              <w:rPr>
                <w:rFonts w:ascii="Times New Roman" w:hAnsi="Times New Roman" w:cs="Times New Roman"/>
                <w:sz w:val="24"/>
                <w:szCs w:val="24"/>
              </w:rPr>
              <w:t>yasal süre sonuna kadar s</w:t>
            </w:r>
            <w:r w:rsidRPr="00344913">
              <w:rPr>
                <w:rFonts w:ascii="Times New Roman" w:hAnsi="Times New Roman" w:cs="Times New Roman"/>
                <w:sz w:val="24"/>
                <w:szCs w:val="24"/>
              </w:rPr>
              <w:t>aklanması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İşlerin aksaması,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Kurum itibarının zedelenmesi.</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 xml:space="preserve">Saklanması gereken </w:t>
            </w:r>
            <w:r>
              <w:rPr>
                <w:rFonts w:ascii="Times New Roman" w:hAnsi="Times New Roman" w:cs="Times New Roman"/>
                <w:sz w:val="24"/>
                <w:szCs w:val="24"/>
              </w:rPr>
              <w:t>faturalar m</w:t>
            </w:r>
            <w:r w:rsidRPr="00344913">
              <w:rPr>
                <w:rFonts w:ascii="Times New Roman" w:hAnsi="Times New Roman" w:cs="Times New Roman"/>
                <w:sz w:val="24"/>
                <w:szCs w:val="24"/>
              </w:rPr>
              <w:t>uhafaza edilirken ilgili mevzuattaki yasal süreleri gözetilir.</w:t>
            </w:r>
          </w:p>
        </w:tc>
      </w:tr>
      <w:tr w:rsidR="00A31FB3" w:rsidTr="00DA4980">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27</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-SGK</w:t>
            </w:r>
            <w:r w:rsidRPr="00344913">
              <w:rPr>
                <w:rFonts w:ascii="Times New Roman" w:hAnsi="Times New Roman" w:cs="Times New Roman"/>
                <w:sz w:val="24"/>
                <w:szCs w:val="24"/>
              </w:rPr>
              <w:t>, KDV1, KDV2,</w:t>
            </w:r>
            <w:r>
              <w:rPr>
                <w:rFonts w:ascii="Times New Roman" w:hAnsi="Times New Roman" w:cs="Times New Roman"/>
                <w:sz w:val="24"/>
                <w:szCs w:val="24"/>
              </w:rPr>
              <w:t xml:space="preserve"> Damga Vergisi Beyannameleri </w:t>
            </w:r>
            <w:r w:rsidRPr="00344913">
              <w:rPr>
                <w:rFonts w:ascii="Times New Roman" w:hAnsi="Times New Roman" w:cs="Times New Roman"/>
                <w:sz w:val="24"/>
                <w:szCs w:val="24"/>
              </w:rPr>
              <w:t>Süreci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Gecikme zammı veya faizine sebebiyet,</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Güven kaybı,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Kamu zararı,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lastRenderedPageBreak/>
              <w:t>Soruşturma.</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lastRenderedPageBreak/>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Döner sermaye ve alt birimlerinden alınan DMİS mizan raporlarındaki bilgilerin beyannameye doğru olarak geçilip geçilmediği titizlikle kontrol edilir.</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lastRenderedPageBreak/>
              <w:t>Vergi takvimine göre yasal süreler dolmadan beyannameler e-beyanname programında düzenlenir ve ödenmek üzere Saymanlığa gönderilir.</w:t>
            </w:r>
          </w:p>
        </w:tc>
      </w:tr>
      <w:tr w:rsidR="00A31FB3" w:rsidTr="00DA4980">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lastRenderedPageBreak/>
              <w:t>28</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Yıllık Birim Faaliyet Raporunun Hazırlanması</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Süreç değerlendirmelerinin aksaması,</w:t>
            </w:r>
          </w:p>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Kurum itibarının zedelenmesi.</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Yüksek</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344913">
              <w:rPr>
                <w:rFonts w:ascii="Times New Roman" w:hAnsi="Times New Roman" w:cs="Times New Roman"/>
                <w:sz w:val="24"/>
                <w:szCs w:val="24"/>
              </w:rPr>
              <w:t>Faaliyet raporlarının hazırlanmasında toplanan veri ve bilgilerin kesin ve doğru olduğundan emin olunur.</w:t>
            </w:r>
          </w:p>
        </w:tc>
      </w:tr>
      <w:tr w:rsidR="00A31FB3" w:rsidTr="00DA4980">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29</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933CB8">
              <w:rPr>
                <w:rFonts w:ascii="Times New Roman" w:hAnsi="Times New Roman" w:cs="Times New Roman"/>
                <w:sz w:val="24"/>
                <w:szCs w:val="24"/>
              </w:rPr>
              <w:t>Evrak İşlemleri</w:t>
            </w:r>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sidRPr="00933CB8">
              <w:rPr>
                <w:rFonts w:ascii="Times New Roman" w:hAnsi="Times New Roman" w:cs="Times New Roman"/>
                <w:sz w:val="24"/>
                <w:szCs w:val="24"/>
              </w:rPr>
              <w:t xml:space="preserve">Gelen </w:t>
            </w:r>
            <w:r>
              <w:rPr>
                <w:rFonts w:ascii="Times New Roman" w:hAnsi="Times New Roman" w:cs="Times New Roman"/>
                <w:sz w:val="24"/>
                <w:szCs w:val="24"/>
              </w:rPr>
              <w:t xml:space="preserve">– Giden </w:t>
            </w:r>
            <w:r w:rsidRPr="00933CB8">
              <w:rPr>
                <w:rFonts w:ascii="Times New Roman" w:hAnsi="Times New Roman" w:cs="Times New Roman"/>
                <w:sz w:val="24"/>
                <w:szCs w:val="24"/>
              </w:rPr>
              <w:t>evrakların kayıt altına alınma</w:t>
            </w:r>
            <w:r>
              <w:rPr>
                <w:rFonts w:ascii="Times New Roman" w:hAnsi="Times New Roman" w:cs="Times New Roman"/>
                <w:sz w:val="24"/>
                <w:szCs w:val="24"/>
              </w:rPr>
              <w:t>ma</w:t>
            </w:r>
            <w:r w:rsidRPr="00933CB8">
              <w:rPr>
                <w:rFonts w:ascii="Times New Roman" w:hAnsi="Times New Roman" w:cs="Times New Roman"/>
                <w:sz w:val="24"/>
                <w:szCs w:val="24"/>
              </w:rPr>
              <w:t>sı, cevaplan</w:t>
            </w:r>
            <w:r>
              <w:rPr>
                <w:rFonts w:ascii="Times New Roman" w:hAnsi="Times New Roman" w:cs="Times New Roman"/>
                <w:sz w:val="24"/>
                <w:szCs w:val="24"/>
              </w:rPr>
              <w:t>ma</w:t>
            </w:r>
            <w:r w:rsidRPr="00933CB8">
              <w:rPr>
                <w:rFonts w:ascii="Times New Roman" w:hAnsi="Times New Roman" w:cs="Times New Roman"/>
                <w:sz w:val="24"/>
                <w:szCs w:val="24"/>
              </w:rPr>
              <w:t>ması, ilgili birimlere dağıtımının yapılma</w:t>
            </w:r>
            <w:r>
              <w:rPr>
                <w:rFonts w:ascii="Times New Roman" w:hAnsi="Times New Roman" w:cs="Times New Roman"/>
                <w:sz w:val="24"/>
                <w:szCs w:val="24"/>
              </w:rPr>
              <w:t>ma</w:t>
            </w:r>
            <w:r w:rsidRPr="00933CB8">
              <w:rPr>
                <w:rFonts w:ascii="Times New Roman" w:hAnsi="Times New Roman" w:cs="Times New Roman"/>
                <w:sz w:val="24"/>
                <w:szCs w:val="24"/>
              </w:rPr>
              <w:t>sı</w:t>
            </w:r>
            <w:r>
              <w:rPr>
                <w:rFonts w:ascii="Times New Roman" w:hAnsi="Times New Roman" w:cs="Times New Roman"/>
                <w:sz w:val="24"/>
                <w:szCs w:val="24"/>
              </w:rPr>
              <w:t xml:space="preserve"> sonucu, güven kaybı, kamu zararı, soruşturma</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Pr>
                <w:rFonts w:ascii="Times New Roman" w:hAnsi="Times New Roman" w:cs="Times New Roman"/>
                <w:sz w:val="24"/>
                <w:szCs w:val="24"/>
              </w:rPr>
              <w:t>Orta</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Pr="00344913" w:rsidRDefault="00A31FB3" w:rsidP="0013196D">
            <w:pPr>
              <w:jc w:val="center"/>
              <w:rPr>
                <w:rFonts w:ascii="Times New Roman" w:hAnsi="Times New Roman" w:cs="Times New Roman"/>
                <w:sz w:val="24"/>
                <w:szCs w:val="24"/>
              </w:rPr>
            </w:pPr>
            <w:r>
              <w:rPr>
                <w:rFonts w:ascii="Times New Roman" w:hAnsi="Times New Roman" w:cs="Times New Roman"/>
                <w:sz w:val="24"/>
                <w:szCs w:val="24"/>
              </w:rPr>
              <w:t>Bütün evrakların EBYS ye kayıt edilmesine ve dağıtımın sistem üzerinden doğru birime yapılmasına dikkat edilir.</w:t>
            </w:r>
          </w:p>
        </w:tc>
      </w:tr>
      <w:tr w:rsidR="00A31FB3" w:rsidTr="00DA4980">
        <w:trPr>
          <w:trHeight w:val="397"/>
        </w:trPr>
        <w:tc>
          <w:tcPr>
            <w:tcW w:w="713"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heme="minorHAnsi" w:eastAsia="Times New Roman" w:hAnsiTheme="minorHAnsi" w:cstheme="minorHAnsi"/>
                <w:b/>
              </w:rPr>
            </w:pPr>
            <w:r>
              <w:rPr>
                <w:rFonts w:asciiTheme="minorHAnsi" w:eastAsia="Times New Roman" w:hAnsiTheme="minorHAnsi" w:cstheme="minorHAnsi"/>
                <w:b/>
              </w:rPr>
              <w:t>30</w:t>
            </w:r>
          </w:p>
        </w:tc>
        <w:tc>
          <w:tcPr>
            <w:tcW w:w="4279" w:type="dxa"/>
            <w:tcBorders>
              <w:top w:val="single" w:sz="6" w:space="0" w:color="000000"/>
              <w:left w:val="single" w:sz="6" w:space="0" w:color="000000"/>
              <w:bottom w:val="single" w:sz="6" w:space="0" w:color="000000"/>
              <w:right w:val="single" w:sz="6" w:space="0" w:color="000000"/>
            </w:tcBorders>
            <w:vAlign w:val="center"/>
          </w:tcPr>
          <w:p w:rsidR="00A31FB3" w:rsidRPr="00933CB8" w:rsidRDefault="00A31FB3" w:rsidP="0013196D">
            <w:pPr>
              <w:jc w:val="center"/>
              <w:rPr>
                <w:rFonts w:ascii="Times New Roman" w:hAnsi="Times New Roman" w:cs="Times New Roman"/>
                <w:sz w:val="24"/>
                <w:szCs w:val="24"/>
              </w:rPr>
            </w:pPr>
            <w:proofErr w:type="spellStart"/>
            <w:r>
              <w:rPr>
                <w:rFonts w:ascii="Times New Roman" w:hAnsi="Times New Roman" w:cs="Times New Roman"/>
                <w:sz w:val="24"/>
                <w:szCs w:val="24"/>
              </w:rPr>
              <w:t>Sekreterya</w:t>
            </w:r>
            <w:proofErr w:type="spellEnd"/>
          </w:p>
        </w:tc>
        <w:tc>
          <w:tcPr>
            <w:tcW w:w="3212"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imes New Roman" w:hAnsi="Times New Roman" w:cs="Times New Roman"/>
                <w:sz w:val="24"/>
                <w:szCs w:val="24"/>
              </w:rPr>
            </w:pPr>
            <w:r>
              <w:rPr>
                <w:rFonts w:ascii="Times New Roman" w:hAnsi="Times New Roman" w:cs="Times New Roman"/>
                <w:sz w:val="24"/>
                <w:szCs w:val="24"/>
              </w:rPr>
              <w:t>İtibar kaybı,</w:t>
            </w:r>
          </w:p>
          <w:p w:rsidR="00A31FB3" w:rsidRPr="00933CB8" w:rsidRDefault="00A31FB3" w:rsidP="0013196D">
            <w:pPr>
              <w:jc w:val="center"/>
              <w:rPr>
                <w:rFonts w:ascii="Times New Roman" w:hAnsi="Times New Roman" w:cs="Times New Roman"/>
                <w:sz w:val="24"/>
                <w:szCs w:val="24"/>
              </w:rPr>
            </w:pPr>
            <w:r>
              <w:rPr>
                <w:rFonts w:ascii="Times New Roman" w:hAnsi="Times New Roman" w:cs="Times New Roman"/>
                <w:sz w:val="24"/>
                <w:szCs w:val="24"/>
              </w:rPr>
              <w:t>Güven kaybı.</w:t>
            </w:r>
          </w:p>
        </w:tc>
        <w:tc>
          <w:tcPr>
            <w:tcW w:w="1144"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imes New Roman" w:hAnsi="Times New Roman" w:cs="Times New Roman"/>
                <w:sz w:val="24"/>
                <w:szCs w:val="24"/>
              </w:rPr>
            </w:pPr>
            <w:r>
              <w:rPr>
                <w:rFonts w:ascii="Times New Roman" w:hAnsi="Times New Roman" w:cs="Times New Roman"/>
                <w:sz w:val="24"/>
                <w:szCs w:val="24"/>
              </w:rPr>
              <w:t>Orta</w:t>
            </w:r>
          </w:p>
        </w:tc>
        <w:tc>
          <w:tcPr>
            <w:tcW w:w="5245" w:type="dxa"/>
            <w:tcBorders>
              <w:top w:val="single" w:sz="6" w:space="0" w:color="000000"/>
              <w:left w:val="single" w:sz="6" w:space="0" w:color="000000"/>
              <w:bottom w:val="single" w:sz="6" w:space="0" w:color="000000"/>
              <w:right w:val="single" w:sz="6" w:space="0" w:color="000000"/>
            </w:tcBorders>
            <w:vAlign w:val="center"/>
          </w:tcPr>
          <w:p w:rsidR="00A31FB3" w:rsidRDefault="00A31FB3" w:rsidP="0013196D">
            <w:pPr>
              <w:jc w:val="center"/>
              <w:rPr>
                <w:rFonts w:ascii="Times New Roman" w:hAnsi="Times New Roman" w:cs="Times New Roman"/>
                <w:sz w:val="24"/>
                <w:szCs w:val="24"/>
              </w:rPr>
            </w:pPr>
            <w:r>
              <w:rPr>
                <w:rFonts w:ascii="Times New Roman" w:hAnsi="Times New Roman" w:cs="Times New Roman"/>
                <w:sz w:val="24"/>
                <w:szCs w:val="24"/>
              </w:rPr>
              <w:t>Kurum içinden ve dışından arayanlara uygun cevabı vermek ya da konunun muhatabı ile görüşebilmesini sağlamak</w:t>
            </w:r>
          </w:p>
        </w:tc>
      </w:tr>
      <w:tr w:rsidR="00A31FB3" w:rsidTr="00A31FB3">
        <w:trPr>
          <w:trHeight w:val="1701"/>
        </w:trPr>
        <w:tc>
          <w:tcPr>
            <w:tcW w:w="8204" w:type="dxa"/>
            <w:gridSpan w:val="3"/>
            <w:tcBorders>
              <w:top w:val="single" w:sz="3" w:space="0" w:color="000000"/>
              <w:left w:val="single" w:sz="6" w:space="0" w:color="000000"/>
              <w:bottom w:val="single" w:sz="3" w:space="0" w:color="000000"/>
              <w:right w:val="single" w:sz="6" w:space="0" w:color="000000"/>
            </w:tcBorders>
          </w:tcPr>
          <w:p w:rsidR="00A31FB3" w:rsidRPr="00E9673D" w:rsidRDefault="00A31FB3" w:rsidP="0013196D">
            <w:pPr>
              <w:spacing w:line="240" w:lineRule="auto"/>
              <w:jc w:val="center"/>
              <w:rPr>
                <w:rFonts w:asciiTheme="minorHAnsi" w:hAnsiTheme="minorHAnsi" w:cstheme="minorHAnsi"/>
              </w:rPr>
            </w:pPr>
          </w:p>
          <w:p w:rsidR="00A31FB3" w:rsidRPr="00E9673D" w:rsidRDefault="00A31FB3" w:rsidP="0013196D">
            <w:pPr>
              <w:spacing w:after="51" w:line="240" w:lineRule="auto"/>
              <w:jc w:val="center"/>
              <w:rPr>
                <w:rFonts w:asciiTheme="minorHAnsi" w:hAnsiTheme="minorHAnsi" w:cstheme="minorHAnsi"/>
              </w:rPr>
            </w:pPr>
            <w:r w:rsidRPr="00E9673D">
              <w:rPr>
                <w:rFonts w:asciiTheme="minorHAnsi" w:hAnsiTheme="minorHAnsi" w:cstheme="minorHAnsi"/>
              </w:rPr>
              <w:t>Hazırlayan</w:t>
            </w:r>
          </w:p>
          <w:p w:rsidR="00A31FB3" w:rsidRPr="00E9673D" w:rsidRDefault="00A31FB3" w:rsidP="0013196D">
            <w:pPr>
              <w:spacing w:after="44" w:line="240" w:lineRule="auto"/>
              <w:jc w:val="center"/>
              <w:rPr>
                <w:rFonts w:asciiTheme="minorHAnsi" w:eastAsia="Times New Roman" w:hAnsiTheme="minorHAnsi" w:cstheme="minorHAnsi"/>
              </w:rPr>
            </w:pPr>
            <w:r w:rsidRPr="00E9673D">
              <w:rPr>
                <w:rFonts w:asciiTheme="minorHAnsi" w:eastAsia="Times New Roman" w:hAnsiTheme="minorHAnsi" w:cstheme="minorHAnsi"/>
              </w:rPr>
              <w:t>…/…/20…</w:t>
            </w:r>
          </w:p>
          <w:p w:rsidR="00A31FB3" w:rsidRPr="00E9673D" w:rsidRDefault="00A31FB3" w:rsidP="0013196D">
            <w:pPr>
              <w:spacing w:after="44" w:line="240" w:lineRule="auto"/>
              <w:jc w:val="center"/>
              <w:rPr>
                <w:rFonts w:asciiTheme="minorHAnsi" w:hAnsiTheme="minorHAnsi" w:cstheme="minorHAnsi"/>
              </w:rPr>
            </w:pPr>
          </w:p>
          <w:p w:rsidR="00A31FB3" w:rsidRPr="00E9673D" w:rsidRDefault="00A31FB3" w:rsidP="0013196D">
            <w:pPr>
              <w:spacing w:after="28" w:line="240" w:lineRule="auto"/>
              <w:jc w:val="center"/>
              <w:rPr>
                <w:rFonts w:asciiTheme="minorHAnsi" w:hAnsiTheme="minorHAnsi" w:cstheme="minorHAnsi"/>
              </w:rPr>
            </w:pPr>
            <w:r w:rsidRPr="00E9673D">
              <w:rPr>
                <w:rFonts w:asciiTheme="minorHAnsi" w:eastAsia="Times New Roman" w:hAnsiTheme="minorHAnsi" w:cstheme="minorHAnsi"/>
              </w:rPr>
              <w:t>Adı-Soyadı</w:t>
            </w:r>
          </w:p>
          <w:p w:rsidR="00A31FB3" w:rsidRPr="00E9673D" w:rsidRDefault="00A31FB3" w:rsidP="0013196D">
            <w:pPr>
              <w:spacing w:after="28" w:line="240" w:lineRule="auto"/>
              <w:jc w:val="center"/>
              <w:rPr>
                <w:rFonts w:asciiTheme="minorHAnsi" w:eastAsia="Times New Roman" w:hAnsiTheme="minorHAnsi" w:cstheme="minorHAnsi"/>
              </w:rPr>
            </w:pPr>
            <w:r w:rsidRPr="00E9673D">
              <w:rPr>
                <w:rFonts w:asciiTheme="minorHAnsi" w:eastAsia="Times New Roman" w:hAnsiTheme="minorHAnsi" w:cstheme="minorHAnsi"/>
              </w:rPr>
              <w:t>İmza</w:t>
            </w:r>
          </w:p>
        </w:tc>
        <w:tc>
          <w:tcPr>
            <w:tcW w:w="6389" w:type="dxa"/>
            <w:gridSpan w:val="2"/>
            <w:tcBorders>
              <w:top w:val="single" w:sz="3" w:space="0" w:color="000000"/>
              <w:left w:val="single" w:sz="6" w:space="0" w:color="000000"/>
              <w:bottom w:val="single" w:sz="3" w:space="0" w:color="000000"/>
              <w:right w:val="single" w:sz="6" w:space="0" w:color="000000"/>
            </w:tcBorders>
          </w:tcPr>
          <w:p w:rsidR="00A31FB3" w:rsidRPr="00E9673D" w:rsidRDefault="00A31FB3" w:rsidP="0013196D">
            <w:pPr>
              <w:spacing w:after="51" w:line="240" w:lineRule="auto"/>
              <w:jc w:val="center"/>
              <w:rPr>
                <w:rFonts w:asciiTheme="minorHAnsi" w:hAnsiTheme="minorHAnsi" w:cstheme="minorHAnsi"/>
              </w:rPr>
            </w:pPr>
            <w:r w:rsidRPr="00E9673D">
              <w:rPr>
                <w:rFonts w:asciiTheme="minorHAnsi" w:hAnsiTheme="minorHAnsi" w:cstheme="minorHAnsi"/>
              </w:rPr>
              <w:t>Onaylayan</w:t>
            </w:r>
          </w:p>
          <w:p w:rsidR="00A31FB3" w:rsidRPr="00E9673D" w:rsidRDefault="00A31FB3" w:rsidP="0013196D">
            <w:pPr>
              <w:spacing w:after="45" w:line="240" w:lineRule="auto"/>
              <w:jc w:val="center"/>
              <w:rPr>
                <w:rFonts w:asciiTheme="minorHAnsi" w:hAnsiTheme="minorHAnsi" w:cstheme="minorHAnsi"/>
                <w:color w:val="AEAAAA" w:themeColor="background2" w:themeShade="BF"/>
              </w:rPr>
            </w:pPr>
            <w:r w:rsidRPr="00E9673D">
              <w:rPr>
                <w:rFonts w:asciiTheme="minorHAnsi" w:eastAsia="Times New Roman" w:hAnsiTheme="minorHAnsi" w:cstheme="minorHAnsi"/>
                <w:color w:val="AEAAAA" w:themeColor="background2" w:themeShade="BF"/>
              </w:rPr>
              <w:t>(Birim Yöneticisi)</w:t>
            </w:r>
          </w:p>
          <w:p w:rsidR="00A31FB3" w:rsidRPr="00E9673D" w:rsidRDefault="00A31FB3" w:rsidP="0013196D">
            <w:pPr>
              <w:spacing w:after="44" w:line="240" w:lineRule="auto"/>
              <w:jc w:val="center"/>
              <w:rPr>
                <w:rFonts w:asciiTheme="minorHAnsi" w:hAnsiTheme="minorHAnsi" w:cstheme="minorHAnsi"/>
              </w:rPr>
            </w:pPr>
            <w:r w:rsidRPr="00E9673D">
              <w:rPr>
                <w:rFonts w:asciiTheme="minorHAnsi" w:eastAsia="Times New Roman" w:hAnsiTheme="minorHAnsi" w:cstheme="minorHAnsi"/>
              </w:rPr>
              <w:t>…/…/20…</w:t>
            </w:r>
          </w:p>
          <w:p w:rsidR="00A31FB3" w:rsidRPr="00E9673D" w:rsidRDefault="00A31FB3" w:rsidP="0013196D">
            <w:pPr>
              <w:spacing w:after="28" w:line="240" w:lineRule="auto"/>
              <w:jc w:val="center"/>
              <w:rPr>
                <w:rFonts w:asciiTheme="minorHAnsi" w:eastAsia="Times New Roman" w:hAnsiTheme="minorHAnsi" w:cstheme="minorHAnsi"/>
              </w:rPr>
            </w:pPr>
          </w:p>
          <w:p w:rsidR="00A31FB3" w:rsidRPr="00E9673D" w:rsidRDefault="00A31FB3" w:rsidP="0013196D">
            <w:pPr>
              <w:spacing w:after="28" w:line="240" w:lineRule="auto"/>
              <w:jc w:val="center"/>
              <w:rPr>
                <w:rFonts w:asciiTheme="minorHAnsi" w:hAnsiTheme="minorHAnsi" w:cstheme="minorHAnsi"/>
              </w:rPr>
            </w:pPr>
            <w:r w:rsidRPr="00E9673D">
              <w:rPr>
                <w:rFonts w:asciiTheme="minorHAnsi" w:eastAsia="Times New Roman" w:hAnsiTheme="minorHAnsi" w:cstheme="minorHAnsi"/>
              </w:rPr>
              <w:t>Adı-Soyadı</w:t>
            </w:r>
          </w:p>
          <w:p w:rsidR="00A31FB3" w:rsidRPr="00E9673D" w:rsidRDefault="00A31FB3" w:rsidP="0013196D">
            <w:pPr>
              <w:spacing w:after="28" w:line="240" w:lineRule="auto"/>
              <w:jc w:val="center"/>
              <w:rPr>
                <w:rFonts w:asciiTheme="minorHAnsi" w:eastAsia="Times New Roman" w:hAnsiTheme="minorHAnsi" w:cstheme="minorHAnsi"/>
              </w:rPr>
            </w:pPr>
            <w:r w:rsidRPr="00E9673D">
              <w:rPr>
                <w:rFonts w:asciiTheme="minorHAnsi" w:eastAsia="Times New Roman" w:hAnsiTheme="minorHAnsi" w:cstheme="minorHAnsi"/>
              </w:rPr>
              <w:t>İmza</w:t>
            </w:r>
          </w:p>
        </w:tc>
      </w:tr>
      <w:tr w:rsidR="00A31FB3" w:rsidTr="00A31FB3">
        <w:tc>
          <w:tcPr>
            <w:tcW w:w="14593" w:type="dxa"/>
            <w:gridSpan w:val="5"/>
            <w:tcBorders>
              <w:top w:val="single" w:sz="3" w:space="0" w:color="000000"/>
              <w:left w:val="single" w:sz="6" w:space="0" w:color="000000"/>
              <w:bottom w:val="single" w:sz="6" w:space="0" w:color="000000"/>
              <w:right w:val="single" w:sz="6" w:space="0" w:color="000000"/>
            </w:tcBorders>
          </w:tcPr>
          <w:p w:rsidR="00A31FB3" w:rsidRDefault="00A31FB3" w:rsidP="0013196D">
            <w:pPr>
              <w:spacing w:after="51" w:line="240" w:lineRule="auto"/>
              <w:jc w:val="center"/>
              <w:rPr>
                <w:sz w:val="27"/>
              </w:rPr>
            </w:pPr>
            <w:r>
              <w:rPr>
                <w:b/>
                <w:sz w:val="27"/>
              </w:rPr>
              <w:t>Eki:</w:t>
            </w:r>
            <w:r w:rsidRPr="00E9673D">
              <w:rPr>
                <w:sz w:val="27"/>
              </w:rPr>
              <w:t xml:space="preserve"> Birim İç Kontrol Ekibi Kararı</w:t>
            </w:r>
          </w:p>
        </w:tc>
      </w:tr>
    </w:tbl>
    <w:p w:rsidR="00C00F5F" w:rsidRDefault="00C00F5F" w:rsidP="0013196D">
      <w:pPr>
        <w:jc w:val="center"/>
      </w:pPr>
    </w:p>
    <w:p w:rsidR="00A31FB3" w:rsidRDefault="00A31FB3" w:rsidP="0013196D">
      <w:pPr>
        <w:jc w:val="center"/>
      </w:pPr>
    </w:p>
    <w:p w:rsidR="00A31FB3" w:rsidRDefault="00A31FB3" w:rsidP="0013196D">
      <w:pPr>
        <w:jc w:val="center"/>
      </w:pPr>
    </w:p>
    <w:p w:rsidR="004E7256" w:rsidRDefault="004E7256" w:rsidP="0013196D">
      <w:pPr>
        <w:jc w:val="center"/>
      </w:pPr>
    </w:p>
    <w:sectPr w:rsidR="004E7256" w:rsidSect="00E9673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BD" w:rsidRDefault="00C91BBD" w:rsidP="00B831FE">
      <w:pPr>
        <w:spacing w:line="240" w:lineRule="auto"/>
      </w:pPr>
      <w:r>
        <w:separator/>
      </w:r>
    </w:p>
  </w:endnote>
  <w:endnote w:type="continuationSeparator" w:id="0">
    <w:p w:rsidR="00C91BBD" w:rsidRDefault="00C91BBD" w:rsidP="00B83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3D" w:rsidRDefault="00E9673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3D" w:rsidRDefault="00E9673D" w:rsidP="00E9673D">
    <w:pPr>
      <w:pStyle w:val="AltBilgi"/>
      <w:numPr>
        <w:ilvl w:val="0"/>
        <w:numId w:val="3"/>
      </w:numPr>
    </w:pPr>
    <w:r>
      <w:t>Alt birimi bulunan birimler tarafından doldurulacaktır.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3D" w:rsidRDefault="00E9673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BD" w:rsidRDefault="00C91BBD" w:rsidP="00B831FE">
      <w:pPr>
        <w:spacing w:line="240" w:lineRule="auto"/>
      </w:pPr>
      <w:r>
        <w:separator/>
      </w:r>
    </w:p>
  </w:footnote>
  <w:footnote w:type="continuationSeparator" w:id="0">
    <w:p w:rsidR="00C91BBD" w:rsidRDefault="00C91BBD" w:rsidP="00B831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3D" w:rsidRDefault="00E9673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1" w:rightFromText="141" w:horzAnchor="margin" w:tblpXSpec="center" w:tblpY="-900"/>
      <w:tblW w:w="14693" w:type="dxa"/>
      <w:tblInd w:w="0" w:type="dxa"/>
      <w:tblCellMar>
        <w:left w:w="82" w:type="dxa"/>
        <w:right w:w="115" w:type="dxa"/>
      </w:tblCellMar>
      <w:tblLook w:val="04A0" w:firstRow="1" w:lastRow="0" w:firstColumn="1" w:lastColumn="0" w:noHBand="0" w:noVBand="1"/>
    </w:tblPr>
    <w:tblGrid>
      <w:gridCol w:w="1941"/>
      <w:gridCol w:w="8464"/>
      <w:gridCol w:w="2139"/>
      <w:gridCol w:w="2149"/>
    </w:tblGrid>
    <w:tr w:rsidR="00C00F5F" w:rsidRPr="00C00F5F" w:rsidTr="00116A5D">
      <w:trPr>
        <w:trHeight w:val="259"/>
      </w:trPr>
      <w:tc>
        <w:tcPr>
          <w:tcW w:w="1941" w:type="dxa"/>
          <w:vMerge w:val="restart"/>
          <w:tcBorders>
            <w:top w:val="single" w:sz="6" w:space="0" w:color="000000"/>
            <w:left w:val="single" w:sz="6" w:space="0" w:color="000000"/>
            <w:bottom w:val="single" w:sz="6" w:space="0" w:color="000000"/>
            <w:right w:val="single" w:sz="6" w:space="0" w:color="000000"/>
          </w:tcBorders>
          <w:vAlign w:val="center"/>
        </w:tcPr>
        <w:p w:rsidR="00C00F5F" w:rsidRPr="00C00F5F" w:rsidRDefault="00C00F5F" w:rsidP="00C00F5F">
          <w:pPr>
            <w:pStyle w:val="stBilgi"/>
            <w:jc w:val="center"/>
          </w:pPr>
          <w:r w:rsidRPr="00C00F5F">
            <w:rPr>
              <w:noProof/>
            </w:rPr>
            <w:drawing>
              <wp:inline distT="0" distB="0" distL="0" distR="0" wp14:anchorId="1BD776EA" wp14:editId="33F9B36B">
                <wp:extent cx="720000" cy="720000"/>
                <wp:effectExtent l="0" t="0" r="4445" b="4445"/>
                <wp:docPr id="3" name="Resim 3"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464" w:type="dxa"/>
          <w:vMerge w:val="restart"/>
          <w:tcBorders>
            <w:top w:val="single" w:sz="6" w:space="0" w:color="000000"/>
            <w:left w:val="single" w:sz="6" w:space="0" w:color="000000"/>
            <w:bottom w:val="single" w:sz="6" w:space="0" w:color="000000"/>
            <w:right w:val="single" w:sz="6" w:space="0" w:color="000000"/>
          </w:tcBorders>
          <w:vAlign w:val="center"/>
        </w:tcPr>
        <w:p w:rsidR="00C00F5F" w:rsidRPr="00C00F5F" w:rsidRDefault="00C00F5F" w:rsidP="00E9673D">
          <w:pPr>
            <w:pStyle w:val="stBilgi"/>
            <w:jc w:val="center"/>
            <w:rPr>
              <w:rFonts w:asciiTheme="minorHAnsi" w:hAnsiTheme="minorHAnsi" w:cstheme="minorHAnsi"/>
              <w:b/>
              <w:sz w:val="24"/>
            </w:rPr>
          </w:pPr>
          <w:r w:rsidRPr="00C00F5F">
            <w:rPr>
              <w:rFonts w:asciiTheme="minorHAnsi" w:hAnsiTheme="minorHAnsi" w:cstheme="minorHAnsi"/>
              <w:b/>
            </w:rPr>
            <w:t xml:space="preserve">Hassas Görev </w:t>
          </w:r>
          <w:r w:rsidR="00E9673D">
            <w:rPr>
              <w:rFonts w:asciiTheme="minorHAnsi" w:hAnsiTheme="minorHAnsi" w:cstheme="minorHAnsi"/>
              <w:b/>
            </w:rPr>
            <w:t>Tespit</w:t>
          </w:r>
          <w:r w:rsidRPr="00C00F5F">
            <w:rPr>
              <w:rFonts w:asciiTheme="minorHAnsi" w:hAnsiTheme="minorHAnsi" w:cstheme="minorHAnsi"/>
              <w:b/>
            </w:rPr>
            <w:t xml:space="preserve"> Formu</w:t>
          </w:r>
        </w:p>
      </w:tc>
      <w:tc>
        <w:tcPr>
          <w:tcW w:w="213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rPr>
              <w:b/>
            </w:rPr>
          </w:pPr>
          <w:r w:rsidRPr="00C00F5F">
            <w:rPr>
              <w:b/>
            </w:rPr>
            <w:t>Doküman No:</w:t>
          </w:r>
        </w:p>
      </w:tc>
      <w:tc>
        <w:tcPr>
          <w:tcW w:w="2149" w:type="dxa"/>
          <w:tcBorders>
            <w:top w:val="single" w:sz="6" w:space="0" w:color="000000"/>
            <w:left w:val="single" w:sz="6" w:space="0" w:color="000000"/>
            <w:bottom w:val="single" w:sz="6" w:space="0" w:color="000000"/>
            <w:right w:val="single" w:sz="6" w:space="0" w:color="000000"/>
          </w:tcBorders>
        </w:tcPr>
        <w:p w:rsidR="00C00F5F" w:rsidRPr="00C00F5F" w:rsidRDefault="00E9673D" w:rsidP="00C00F5F">
          <w:pPr>
            <w:pStyle w:val="stBilgi"/>
          </w:pPr>
          <w:proofErr w:type="gramStart"/>
          <w:r>
            <w:t>GAZİ.FR</w:t>
          </w:r>
          <w:proofErr w:type="gramEnd"/>
          <w:r>
            <w:t>. 0114</w:t>
          </w:r>
        </w:p>
      </w:tc>
    </w:tr>
    <w:tr w:rsidR="00C00F5F" w:rsidRPr="00C00F5F" w:rsidTr="00116A5D">
      <w:trPr>
        <w:trHeight w:val="259"/>
      </w:trPr>
      <w:tc>
        <w:tcPr>
          <w:tcW w:w="0" w:type="auto"/>
          <w:vMerge/>
          <w:tcBorders>
            <w:top w:val="nil"/>
            <w:left w:val="single" w:sz="6" w:space="0" w:color="000000"/>
            <w:bottom w:val="nil"/>
            <w:right w:val="single" w:sz="6" w:space="0" w:color="000000"/>
          </w:tcBorders>
        </w:tcPr>
        <w:p w:rsidR="00C00F5F" w:rsidRPr="00C00F5F" w:rsidRDefault="00C00F5F" w:rsidP="00C00F5F">
          <w:pPr>
            <w:pStyle w:val="stBilgi"/>
          </w:pPr>
        </w:p>
      </w:tc>
      <w:tc>
        <w:tcPr>
          <w:tcW w:w="0" w:type="auto"/>
          <w:vMerge/>
          <w:tcBorders>
            <w:top w:val="nil"/>
            <w:left w:val="single" w:sz="6" w:space="0" w:color="000000"/>
            <w:bottom w:val="nil"/>
            <w:right w:val="single" w:sz="6" w:space="0" w:color="000000"/>
          </w:tcBorders>
        </w:tcPr>
        <w:p w:rsidR="00C00F5F" w:rsidRPr="00C00F5F" w:rsidRDefault="00C00F5F" w:rsidP="00C00F5F">
          <w:pPr>
            <w:pStyle w:val="stBilgi"/>
          </w:pPr>
        </w:p>
      </w:tc>
      <w:tc>
        <w:tcPr>
          <w:tcW w:w="213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rPr>
              <w:b/>
            </w:rPr>
          </w:pPr>
          <w:r w:rsidRPr="00C00F5F">
            <w:rPr>
              <w:b/>
            </w:rPr>
            <w:t>Yayın Tarihi:</w:t>
          </w:r>
        </w:p>
      </w:tc>
      <w:tc>
        <w:tcPr>
          <w:tcW w:w="214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pPr>
          <w:r w:rsidRPr="00C00F5F">
            <w:t>29.06.2022</w:t>
          </w:r>
        </w:p>
      </w:tc>
    </w:tr>
    <w:tr w:rsidR="00C00F5F" w:rsidRPr="00C00F5F" w:rsidTr="00116A5D">
      <w:trPr>
        <w:trHeight w:val="259"/>
      </w:trPr>
      <w:tc>
        <w:tcPr>
          <w:tcW w:w="0" w:type="auto"/>
          <w:vMerge/>
          <w:tcBorders>
            <w:top w:val="nil"/>
            <w:left w:val="single" w:sz="6" w:space="0" w:color="000000"/>
            <w:bottom w:val="nil"/>
            <w:right w:val="single" w:sz="6" w:space="0" w:color="000000"/>
          </w:tcBorders>
        </w:tcPr>
        <w:p w:rsidR="00C00F5F" w:rsidRPr="00C00F5F" w:rsidRDefault="00C00F5F" w:rsidP="00C00F5F">
          <w:pPr>
            <w:pStyle w:val="stBilgi"/>
          </w:pPr>
        </w:p>
      </w:tc>
      <w:tc>
        <w:tcPr>
          <w:tcW w:w="0" w:type="auto"/>
          <w:vMerge/>
          <w:tcBorders>
            <w:top w:val="nil"/>
            <w:left w:val="single" w:sz="6" w:space="0" w:color="000000"/>
            <w:bottom w:val="nil"/>
            <w:right w:val="single" w:sz="6" w:space="0" w:color="000000"/>
          </w:tcBorders>
        </w:tcPr>
        <w:p w:rsidR="00C00F5F" w:rsidRPr="00C00F5F" w:rsidRDefault="00C00F5F" w:rsidP="00C00F5F">
          <w:pPr>
            <w:pStyle w:val="stBilgi"/>
          </w:pPr>
        </w:p>
      </w:tc>
      <w:tc>
        <w:tcPr>
          <w:tcW w:w="213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rPr>
              <w:b/>
            </w:rPr>
          </w:pPr>
          <w:r w:rsidRPr="00C00F5F">
            <w:rPr>
              <w:b/>
            </w:rPr>
            <w:t>Revizyon Tarihi:</w:t>
          </w:r>
        </w:p>
      </w:tc>
      <w:tc>
        <w:tcPr>
          <w:tcW w:w="214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pPr>
        </w:p>
      </w:tc>
    </w:tr>
    <w:tr w:rsidR="00C00F5F" w:rsidRPr="00C00F5F" w:rsidTr="00116A5D">
      <w:trPr>
        <w:trHeight w:val="259"/>
      </w:trPr>
      <w:tc>
        <w:tcPr>
          <w:tcW w:w="0" w:type="auto"/>
          <w:vMerge/>
          <w:tcBorders>
            <w:top w:val="nil"/>
            <w:left w:val="single" w:sz="6" w:space="0" w:color="000000"/>
            <w:bottom w:val="nil"/>
            <w:right w:val="single" w:sz="6" w:space="0" w:color="000000"/>
          </w:tcBorders>
        </w:tcPr>
        <w:p w:rsidR="00C00F5F" w:rsidRPr="00C00F5F" w:rsidRDefault="00C00F5F" w:rsidP="00C00F5F">
          <w:pPr>
            <w:pStyle w:val="stBilgi"/>
          </w:pPr>
        </w:p>
      </w:tc>
      <w:tc>
        <w:tcPr>
          <w:tcW w:w="0" w:type="auto"/>
          <w:vMerge/>
          <w:tcBorders>
            <w:top w:val="nil"/>
            <w:left w:val="single" w:sz="6" w:space="0" w:color="000000"/>
            <w:bottom w:val="nil"/>
            <w:right w:val="single" w:sz="6" w:space="0" w:color="000000"/>
          </w:tcBorders>
        </w:tcPr>
        <w:p w:rsidR="00C00F5F" w:rsidRPr="00C00F5F" w:rsidRDefault="00C00F5F" w:rsidP="00C00F5F">
          <w:pPr>
            <w:pStyle w:val="stBilgi"/>
          </w:pPr>
        </w:p>
      </w:tc>
      <w:tc>
        <w:tcPr>
          <w:tcW w:w="213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rPr>
              <w:b/>
            </w:rPr>
          </w:pPr>
          <w:r w:rsidRPr="00C00F5F">
            <w:rPr>
              <w:b/>
            </w:rPr>
            <w:t>Revizyon No:</w:t>
          </w:r>
        </w:p>
      </w:tc>
      <w:tc>
        <w:tcPr>
          <w:tcW w:w="214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pPr>
        </w:p>
      </w:tc>
    </w:tr>
    <w:tr w:rsidR="00C00F5F" w:rsidRPr="00C00F5F" w:rsidTr="00116A5D">
      <w:trPr>
        <w:trHeight w:val="269"/>
      </w:trPr>
      <w:tc>
        <w:tcPr>
          <w:tcW w:w="0" w:type="auto"/>
          <w:vMerge/>
          <w:tcBorders>
            <w:top w:val="nil"/>
            <w:left w:val="single" w:sz="6" w:space="0" w:color="000000"/>
            <w:bottom w:val="single" w:sz="6" w:space="0" w:color="000000"/>
            <w:right w:val="single" w:sz="6" w:space="0" w:color="000000"/>
          </w:tcBorders>
        </w:tcPr>
        <w:p w:rsidR="00C00F5F" w:rsidRPr="00C00F5F" w:rsidRDefault="00C00F5F" w:rsidP="00C00F5F">
          <w:pPr>
            <w:pStyle w:val="stBilgi"/>
          </w:pPr>
        </w:p>
      </w:tc>
      <w:tc>
        <w:tcPr>
          <w:tcW w:w="0" w:type="auto"/>
          <w:vMerge/>
          <w:tcBorders>
            <w:top w:val="nil"/>
            <w:left w:val="single" w:sz="6" w:space="0" w:color="000000"/>
            <w:bottom w:val="single" w:sz="6" w:space="0" w:color="000000"/>
            <w:right w:val="single" w:sz="6" w:space="0" w:color="000000"/>
          </w:tcBorders>
        </w:tcPr>
        <w:p w:rsidR="00C00F5F" w:rsidRPr="00C00F5F" w:rsidRDefault="00C00F5F" w:rsidP="00C00F5F">
          <w:pPr>
            <w:pStyle w:val="stBilgi"/>
          </w:pPr>
        </w:p>
      </w:tc>
      <w:tc>
        <w:tcPr>
          <w:tcW w:w="2139" w:type="dxa"/>
          <w:tcBorders>
            <w:top w:val="single" w:sz="6" w:space="0" w:color="000000"/>
            <w:left w:val="single" w:sz="6" w:space="0" w:color="000000"/>
            <w:bottom w:val="single" w:sz="6" w:space="0" w:color="000000"/>
            <w:right w:val="single" w:sz="6" w:space="0" w:color="000000"/>
          </w:tcBorders>
        </w:tcPr>
        <w:p w:rsidR="00C00F5F" w:rsidRPr="00C00F5F" w:rsidRDefault="00C00F5F" w:rsidP="00C00F5F">
          <w:pPr>
            <w:pStyle w:val="stBilgi"/>
            <w:rPr>
              <w:b/>
            </w:rPr>
          </w:pPr>
          <w:r w:rsidRPr="00C00F5F">
            <w:rPr>
              <w:b/>
            </w:rPr>
            <w:t>Sayfa:</w:t>
          </w:r>
        </w:p>
      </w:tc>
      <w:tc>
        <w:tcPr>
          <w:tcW w:w="2149" w:type="dxa"/>
          <w:tcBorders>
            <w:top w:val="single" w:sz="6" w:space="0" w:color="000000"/>
            <w:left w:val="single" w:sz="6" w:space="0" w:color="000000"/>
            <w:bottom w:val="single" w:sz="6" w:space="0" w:color="000000"/>
            <w:right w:val="single" w:sz="6" w:space="0" w:color="000000"/>
          </w:tcBorders>
        </w:tcPr>
        <w:p w:rsidR="00C00F5F" w:rsidRPr="00C00F5F" w:rsidRDefault="00800224" w:rsidP="00C00F5F">
          <w:pPr>
            <w:pStyle w:val="stBilgi"/>
          </w:pPr>
          <w:r>
            <w:t>1/1</w:t>
          </w:r>
        </w:p>
      </w:tc>
    </w:tr>
  </w:tbl>
  <w:p w:rsidR="00C00F5F" w:rsidRDefault="00C00F5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73D" w:rsidRDefault="00E967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75EB"/>
    <w:multiLevelType w:val="hybridMultilevel"/>
    <w:tmpl w:val="898C5F26"/>
    <w:lvl w:ilvl="0" w:tplc="D9CC1EBC">
      <w:numFmt w:val="bullet"/>
      <w:lvlText w:val=""/>
      <w:lvlJc w:val="left"/>
      <w:pPr>
        <w:ind w:left="720" w:hanging="360"/>
      </w:pPr>
      <w:rPr>
        <w:rFonts w:ascii="Symbol" w:eastAsia="Calibri"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0120CA"/>
    <w:multiLevelType w:val="hybridMultilevel"/>
    <w:tmpl w:val="C0AC0900"/>
    <w:lvl w:ilvl="0" w:tplc="97A2BA7C">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68411B"/>
    <w:multiLevelType w:val="hybridMultilevel"/>
    <w:tmpl w:val="D5B65F58"/>
    <w:lvl w:ilvl="0" w:tplc="A72AA0B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5"/>
    <w:rsid w:val="0013196D"/>
    <w:rsid w:val="001B7781"/>
    <w:rsid w:val="00371722"/>
    <w:rsid w:val="004E7256"/>
    <w:rsid w:val="00517742"/>
    <w:rsid w:val="00750F25"/>
    <w:rsid w:val="00781D66"/>
    <w:rsid w:val="00800224"/>
    <w:rsid w:val="00A233CC"/>
    <w:rsid w:val="00A31FB3"/>
    <w:rsid w:val="00B831FE"/>
    <w:rsid w:val="00BD6C72"/>
    <w:rsid w:val="00C00F5F"/>
    <w:rsid w:val="00C63800"/>
    <w:rsid w:val="00C91BBD"/>
    <w:rsid w:val="00E96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4E9B"/>
  <w15:docId w15:val="{F8D59540-D222-456D-A83B-DBD9DD0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B831FE"/>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831FE"/>
    <w:rPr>
      <w:rFonts w:ascii="Calibri" w:eastAsia="Calibri" w:hAnsi="Calibri" w:cs="Calibri"/>
      <w:color w:val="000000"/>
    </w:rPr>
  </w:style>
  <w:style w:type="paragraph" w:styleId="AltBilgi">
    <w:name w:val="footer"/>
    <w:basedOn w:val="Normal"/>
    <w:link w:val="AltBilgiChar"/>
    <w:uiPriority w:val="99"/>
    <w:unhideWhenUsed/>
    <w:rsid w:val="00B831F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831FE"/>
    <w:rPr>
      <w:rFonts w:ascii="Calibri" w:eastAsia="Calibri" w:hAnsi="Calibri" w:cs="Calibri"/>
      <w:color w:val="000000"/>
    </w:rPr>
  </w:style>
  <w:style w:type="paragraph" w:styleId="ListeParagraf">
    <w:name w:val="List Paragraph"/>
    <w:basedOn w:val="Normal"/>
    <w:uiPriority w:val="34"/>
    <w:qFormat/>
    <w:rsid w:val="00E9673D"/>
    <w:pPr>
      <w:ind w:left="720"/>
      <w:contextualSpacing/>
    </w:pPr>
  </w:style>
  <w:style w:type="paragraph" w:customStyle="1" w:styleId="Default">
    <w:name w:val="Default"/>
    <w:rsid w:val="00A31FB3"/>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1290</Words>
  <Characters>7356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DÖNER SERMAYE</cp:lastModifiedBy>
  <cp:revision>4</cp:revision>
  <dcterms:created xsi:type="dcterms:W3CDTF">2022-10-24T14:29:00Z</dcterms:created>
  <dcterms:modified xsi:type="dcterms:W3CDTF">2022-11-09T05:48:00Z</dcterms:modified>
</cp:coreProperties>
</file>